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36"/>
          <w:szCs w:val="36"/>
        </w:rPr>
      </w:pPr>
      <w:r w:rsidDel="00000000" w:rsidR="00000000" w:rsidRPr="00000000">
        <w:rPr>
          <w:rtl w:val="0"/>
        </w:rPr>
      </w:r>
    </w:p>
    <w:p w:rsidR="00000000" w:rsidDel="00000000" w:rsidP="00000000" w:rsidRDefault="00000000" w:rsidRPr="00000000" w14:paraId="00000002">
      <w:pPr>
        <w:spacing w:after="0" w:lineRule="auto"/>
        <w:jc w:val="center"/>
        <w:rPr>
          <w:b w:val="1"/>
          <w:bCs w:val="1"/>
          <w:sz w:val="36"/>
          <w:szCs w:val="36"/>
        </w:rPr>
      </w:pPr>
      <w:r w:rsidDel="00000000" w:rsidR="00000000" w:rsidRPr="00000000">
        <w:rPr>
          <w:b w:val="1"/>
          <w:bCs w:val="1"/>
          <w:sz w:val="36"/>
          <w:szCs w:val="36"/>
          <w:rtl w:val="0"/>
        </w:rPr>
        <w:t xml:space="preserve">PANDUAN POSTER PAMERAN HASIL KEGIATAN</w:t>
      </w:r>
    </w:p>
    <w:p w:rsidR="00000000" w:rsidDel="00000000" w:rsidP="00000000" w:rsidRDefault="00000000" w:rsidRPr="00000000" w14:paraId="00000003">
      <w:pPr>
        <w:jc w:val="center"/>
        <w:rPr>
          <w:b w:val="1"/>
          <w:bCs w:val="1"/>
          <w:sz w:val="36"/>
          <w:szCs w:val="36"/>
        </w:rPr>
      </w:pPr>
      <w:r w:rsidDel="00000000" w:rsidR="00000000" w:rsidRPr="00000000">
        <w:rPr>
          <w:b w:val="1"/>
          <w:bCs w:val="1"/>
          <w:sz w:val="36"/>
          <w:szCs w:val="36"/>
          <w:rtl w:val="0"/>
        </w:rPr>
        <w:t xml:space="preserve">BIDANG KEMAHASISWAAN UNSRI 2026</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Poster berjumlah 1 (satu) lembar dengan ukuran tinggi x lebar adalah 80 cm x 60 cm dipasang vertikal (portrait).</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Poster terbaca dengan baik dalam jarak maksimal 2 meter.</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Desain poster memperhatikan keseimbangan yaitu simetris-asimetris, prinsip kesatuan pengaturan elemen gambar, warna, latar belakang, gerak mengarahkan mata pembaca mengalir ke seluruh area poster.</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Hirarki dan kontras untuk menunjukkan penekanan objek atau hal mana yang diutamakan</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Poster harus berisi: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judul, nama pelaksana, logo UNSRI, logo sumber kegiatan (PKM, PPKO, P2MW, SYIP), latar belakang, tujuan, metode, hasil (berupa teks, gambar/ fotografi, skema), kesimpulan, referensi yang disitasi pada poster menggunakan Harvard style, lembaga/mitra terkait (+logo), detail kontak, foto tim dan pembimbing, dan waktu kegiatan. PKM-K dilengkapi dengan rencana usaha atau aktivitas usaha. PKM-PM dan PKM-PI berisi uraian profil dan permasalahan mitra, serta solusi dan keberhasilan program termasuk keberlanjutan program.</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Judul poster sama dengan judul proposal.</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Gambar produk PKM-KC dan PKM-KI atau PKM lainnya mendukung impresi pelaksanaan kegiatan secara visual.</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Semua gambar atau foto wajib mencantumkan sumber sesuai dengan ketentuan hak cipta dan etika penggunaannya.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Resolusi Poster minimal 300 dpi.</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Mahasiswa diperkenankan menggunakan kecerdasan buatan (AI) dalam proses pembuatan poster hanya sebagai alat bantu untuk meningkatkan kualitas karya, baik dari aspek penulisan maupun visualisasi.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Sebagai bentuk transparansi dan akuntabilitas, pada bagian bawah poster wajib dicantumkan pernyataan yang menjelaskan penggunaan AI, termasuk bagian mana saja dari poster yang memanfaatkan teknologi tersebut, serta jenis AI yang digunakan. Pernyataan penggunaan AI adalah sebagai berikut</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:“Poster ini memanfaatkan kecerdasan buatan (AI) sebagai alat bantu pada bagian [tulisan/gambar/visualisasi tertentu] untuk meningkatkan kualitas karya. Jenis AI yang digunakan: [sebutkan nama/jenis aplikasi atau platform AI, misalnya ChatGPT, Copilot, MidJourney, Canva AI, dll.]. AI hanya berfungsi sebagai pendukung, bukan sebagai pencipta utama karya.”</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426" w:right="0" w:hanging="42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Poster dalam bentuk file diunggah ke GOOGLE DRIVE, linknya: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426" w:right="0" w:hanging="42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Poster dicetak sesuai ukuran aslinya, akan dipamerkan pada tanggal 28 Oktober 2026. Pemasangan poster akan dilakukan pada tanggal 27 Oktober 2026 bertempat di ..........</w:t>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Berikut adalah logo SYIP, bagi yang sumber pendanaannya PKM, PPKO, dan P2MW silakan donlot di website https://simbelmawa.kemdiktisaintek.go.id/</w:t>
      </w:r>
    </w:p>
    <w:p w:rsidR="00000000" w:rsidDel="00000000" w:rsidP="00000000" w:rsidRDefault="00000000" w:rsidRPr="00000000" w14:paraId="00000013">
      <w:pPr>
        <w:rPr/>
      </w:pPr>
      <w:r w:rsidDel="00000000" w:rsidR="00000000" w:rsidRPr="00000000">
        <w:rPr/>
        <w:drawing>
          <wp:inline distB="0" distT="0" distL="0" distR="0">
            <wp:extent cx="2739532" cy="337630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39532" cy="337630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sv"/>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